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F" w:rsidRPr="008733DF" w:rsidRDefault="008733DF" w:rsidP="008733DF">
      <w:pPr>
        <w:pBdr>
          <w:bottom w:val="single" w:sz="4" w:space="1" w:color="auto"/>
        </w:pBdr>
        <w:jc w:val="center"/>
      </w:pPr>
      <w:r>
        <w:rPr>
          <w:rFonts w:hAnsi="Symbol"/>
        </w:rPr>
        <w:t xml:space="preserve">Sites  </w:t>
      </w:r>
      <w:proofErr w:type="gramStart"/>
      <w:r>
        <w:rPr>
          <w:rFonts w:hAnsi="Symbol"/>
        </w:rPr>
        <w:t>consulter</w:t>
      </w:r>
      <w:proofErr w:type="gramEnd"/>
      <w:r>
        <w:rPr>
          <w:rFonts w:hAnsi="Symbol"/>
        </w:rPr>
        <w:t xml:space="preserve"> </w:t>
      </w:r>
      <w:r>
        <w:t xml:space="preserve">à </w:t>
      </w:r>
      <w:r>
        <w:rPr>
          <w:rFonts w:hAnsi="Symbol"/>
        </w:rPr>
        <w:t>partir d</w:t>
      </w:r>
      <w:r>
        <w:rPr>
          <w:rFonts w:hAnsi="Symbol" w:hint="eastAsia"/>
        </w:rPr>
        <w:t>’</w:t>
      </w:r>
      <w:proofErr w:type="spellStart"/>
      <w:r>
        <w:rPr>
          <w:rFonts w:hAnsi="Symbol"/>
        </w:rPr>
        <w:t>Ecogest</w:t>
      </w:r>
      <w:proofErr w:type="spellEnd"/>
      <w:r>
        <w:rPr>
          <w:rFonts w:hAnsi="Symbol"/>
        </w:rPr>
        <w:t>@info mars 2011</w:t>
      </w:r>
    </w:p>
    <w:p w:rsidR="008733DF" w:rsidRDefault="008733DF">
      <w:pPr>
        <w:rPr>
          <w:rFonts w:hAnsi="Symbol"/>
        </w:rPr>
      </w:pPr>
    </w:p>
    <w:p w:rsidR="008733DF" w:rsidRDefault="008733DF">
      <w:pPr>
        <w:rPr>
          <w:rFonts w:hAnsi="Symbol"/>
        </w:rPr>
      </w:pPr>
    </w:p>
    <w:p w:rsidR="00F33BAF" w:rsidRDefault="008733DF">
      <w:r>
        <w:rPr>
          <w:rFonts w:hAnsi="Symbol"/>
        </w:rPr>
        <w:t></w:t>
      </w:r>
      <w:r>
        <w:t xml:space="preserve">  </w:t>
      </w:r>
      <w:r>
        <w:rPr>
          <w:rStyle w:val="s-titre"/>
        </w:rPr>
        <w:t>Obligations scolaires : vaincre l'absentéisme</w:t>
      </w:r>
      <w:r>
        <w:br/>
      </w:r>
      <w:r>
        <w:rPr>
          <w:rStyle w:val="Accentuation"/>
        </w:rPr>
        <w:t>Source : BO n° 5 du 3 février 2011</w:t>
      </w:r>
      <w:r>
        <w:br/>
        <w:t xml:space="preserve">Dans la cadre de la lutte contre l'absentéisme scolaire, la loi n°2010-1127 du 28 septembre 2010 renforce le rôle des familles dans l'éducation de leurs enfants, en rappelant qu'elles assument pleinement l'autorité parentale et qu'à ce titre elles doivent veiller à ce que leurs enfants aillent à l'école. La circulaire du ministère de l'éducation nationale n°2011-0018 du 31 janvier 2011 présente les dispositions de la loi de septembre 2010 et rappelle celles issues de la loi de mars 2007 relative à la prévention de la délinquance. Elle s'applique à tous les élèves mineurs inscrits dans les établissements d'enseignement scolaire publics ou privés. </w:t>
      </w:r>
      <w:r>
        <w:br/>
        <w:t xml:space="preserve">Lien : </w:t>
      </w:r>
      <w:hyperlink r:id="rId4" w:history="1">
        <w:r>
          <w:rPr>
            <w:rStyle w:val="Lienhypertexte"/>
          </w:rPr>
          <w:t>http://www.education.gouv.fr/cid54846/page.html</w:t>
        </w:r>
      </w:hyperlink>
    </w:p>
    <w:p w:rsidR="008733DF" w:rsidRDefault="008733DF">
      <w:r>
        <w:rPr>
          <w:rFonts w:hAnsi="Symbol"/>
        </w:rPr>
        <w:t></w:t>
      </w:r>
      <w:r>
        <w:t xml:space="preserve">  </w:t>
      </w:r>
      <w:r>
        <w:rPr>
          <w:rStyle w:val="s-titre"/>
        </w:rPr>
        <w:t>Quel avenir pour les métiers de la comptabilité ?</w:t>
      </w:r>
      <w:r>
        <w:br/>
      </w:r>
      <w:r>
        <w:rPr>
          <w:rStyle w:val="Accentuation"/>
        </w:rPr>
        <w:t>Source : Revue fiduciaire comptable</w:t>
      </w:r>
      <w:r>
        <w:br/>
        <w:t xml:space="preserve">À l'occasion d'une conférence de l'Académie des sciences et techniques comptables et financières en partenariat avec le cabinet de recrutement Robert </w:t>
      </w:r>
      <w:proofErr w:type="spellStart"/>
      <w:r>
        <w:t>Half</w:t>
      </w:r>
      <w:proofErr w:type="spellEnd"/>
      <w:r>
        <w:t xml:space="preserve">, un panorama de la santé et des évolutions de la filière comptable a été dressé. </w:t>
      </w:r>
      <w:r>
        <w:br/>
        <w:t xml:space="preserve">Lien : </w:t>
      </w:r>
      <w:hyperlink r:id="rId5" w:history="1">
        <w:r>
          <w:rPr>
            <w:rStyle w:val="Lienhypertexte"/>
          </w:rPr>
          <w:t>http://rfcomptable.grouperf.com/depeches/22204.html</w:t>
        </w:r>
      </w:hyperlink>
    </w:p>
    <w:p w:rsidR="008733DF" w:rsidRDefault="008733DF">
      <w:r>
        <w:rPr>
          <w:rFonts w:hAnsi="Symbol"/>
        </w:rPr>
        <w:t></w:t>
      </w:r>
      <w:r>
        <w:t xml:space="preserve">  </w:t>
      </w:r>
      <w:r>
        <w:rPr>
          <w:rStyle w:val="s-titre"/>
        </w:rPr>
        <w:t>Le VRP : statut et contrat de travail</w:t>
      </w:r>
      <w:r>
        <w:br/>
      </w:r>
      <w:r>
        <w:rPr>
          <w:rStyle w:val="Accentuation"/>
        </w:rPr>
        <w:t xml:space="preserve">Source : </w:t>
      </w:r>
      <w:proofErr w:type="spellStart"/>
      <w:r>
        <w:rPr>
          <w:rStyle w:val="Accentuation"/>
        </w:rPr>
        <w:t>Entreprises.CCIP</w:t>
      </w:r>
      <w:proofErr w:type="spellEnd"/>
      <w:r>
        <w:br/>
        <w:t xml:space="preserve">Cette profession est régie par les articles L. 7311-1 et suivants du Code du travail et par l'Accord national interprofessionnel du 3 octobre 1975. Le point sur le statut juridique et le contrat de travail du VRP. </w:t>
      </w:r>
      <w:r>
        <w:br/>
        <w:t xml:space="preserve">Lien : </w:t>
      </w:r>
      <w:hyperlink r:id="rId6" w:history="1">
        <w:r>
          <w:rPr>
            <w:rStyle w:val="Lienhypertexte"/>
          </w:rPr>
          <w:t>http://www.entreprises.ccip.fr/web/reglementation/developpement-et-vie-de-l-entreprise/droit-social/choix-du/le-vrp-statut-et-contrat-de-travail</w:t>
        </w:r>
      </w:hyperlink>
    </w:p>
    <w:p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séquestration du dirigeant par ses salariés : quels risques ?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Village de la justice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modes d'actions se radicalisent : se sont ainsi développées des pratiques de contraintes physiques à l'encontre des employeurs, retenus contre leur volonté sur leur lieu de travail, souvent dans leur propre bureau. Existe-t-il une lecture pénale de ce comportement ? Les salariés qui prennent ces initiatives ne prennent-ils pas le risque d'engager leur responsabilité pénale ? Comment le chef d'entreprise soumis à ce régime doit-il réagir pour préserver ses droits et les faire valoir le cas échéant devant une juridiction répressive ?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7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http://www.village-justice.com/articles/sequestration-dirigeant-salaries,9648.html</w:t>
        </w:r>
      </w:hyperlink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L'actualité du droit du travail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Village de la justice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synthèse des principales décisions des tribunaux, notamment de la Cour de cassation, dans le domaine du droit du travail, pendant le dernier trimestre 2010.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8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http://www.village-justice.com/articles/actualite-droit-travail-Rocheblave,9627.html</w:t>
        </w:r>
      </w:hyperlink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33DF" w:rsidRDefault="008733DF" w:rsidP="008733D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Obligation d'assiduité scolaire et sanctions encourues par les familles en cas de non-respect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Net-iris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Dans la cadre de la lutte contre l'absentéisme scolaire, la loi n°2010-1127 du 28 septembre 2010 renforce le rôle des familles dans l'éducation de leurs enfants, en rappelant qu'elles assument pleinement l'autorité parentale et qu'à ce titre elles doivent veiller à ce que leurs enfants aillent à l'école. La circulaire du ministère de l'éducation nationale n°2011-0018 du 31 janvier 2011 présente les dispositions de la loi de septembre 2010 et rappelle celles issues de la loi de mars 2007 relative à la prévention de la délinquance. Elle s'applique à tous les élèves mineurs inscrits dans les établissements d'enseignement scolaire publics ou privés.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9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http://www.net-iris.fr/veille-juridique/actualite/26476/obligation-assiduite-scolaire-et-sanctions-encourues-par-les-familles-en-cas-de-non-respect.php</w:t>
        </w:r>
      </w:hyperlink>
    </w:p>
    <w:p w:rsidR="008733DF" w:rsidRDefault="008733DF" w:rsidP="008733DF">
      <w:r>
        <w:rPr>
          <w:rFonts w:hAnsi="Symbol"/>
        </w:rPr>
        <w:t></w:t>
      </w:r>
      <w:r>
        <w:t xml:space="preserve">  </w:t>
      </w:r>
      <w:r>
        <w:rPr>
          <w:rStyle w:val="s-titre"/>
        </w:rPr>
        <w:t>Tester sa culture économique</w:t>
      </w:r>
      <w:r>
        <w:br/>
      </w:r>
      <w:r>
        <w:rPr>
          <w:rStyle w:val="Accentuation"/>
        </w:rPr>
        <w:t xml:space="preserve">Source : </w:t>
      </w:r>
      <w:proofErr w:type="spellStart"/>
      <w:r>
        <w:rPr>
          <w:rStyle w:val="Accentuation"/>
        </w:rPr>
        <w:t>Minéfi</w:t>
      </w:r>
      <w:proofErr w:type="spellEnd"/>
      <w:r>
        <w:br/>
        <w:t xml:space="preserve">Le site du ministère de l'économie et des finances propose plusieurs tests de connaissance des mécanismes économiques pour permettre à chacun de mesurer ses propres acquis. Ce test </w:t>
      </w:r>
      <w:proofErr w:type="spellStart"/>
      <w:r>
        <w:t>Kezeco</w:t>
      </w:r>
      <w:proofErr w:type="spellEnd"/>
      <w:r>
        <w:t xml:space="preserve"> a été conçu avec TNS Sofres et un "</w:t>
      </w:r>
      <w:proofErr w:type="spellStart"/>
      <w:r>
        <w:t>think</w:t>
      </w:r>
      <w:proofErr w:type="spellEnd"/>
      <w:r>
        <w:t xml:space="preserve"> tank" d'experts en économie comme un outil de pilotage et de formation en matière de culture économique. Un outil ludique qui peut être exploité en section de première ou de terminale. </w:t>
      </w:r>
      <w:r>
        <w:br/>
        <w:t xml:space="preserve">Lien : </w:t>
      </w:r>
      <w:hyperlink r:id="rId10" w:history="1">
        <w:r>
          <w:rPr>
            <w:rStyle w:val="Lienhypertexte"/>
          </w:rPr>
          <w:t>http://www.kezeco.economie.gouv.fr/-Test-Codice,520-</w:t>
        </w:r>
      </w:hyperlink>
    </w:p>
    <w:p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Le contrat de travail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CERPEG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droit, une application et son corrigé sur les différents types de contrat de travail.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11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http://www.cerpeg.ac-versailles.fr/ressdiscipl/droit/dossiers/2011_appli_droit_type_contrat_travail_enonce.doc</w:t>
        </w:r>
      </w:hyperlink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De l'objet au sujet d'étude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Académie de Bordeaux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Présentation d'un guide pour l'étude à réaliser dans le cadre des nouveaux programmes d'économie-droit.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12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http://disciplines.ac-bordeaux.fr/ecogestion/vente/uploads/rubriques/21/file/fiche%20ressource%20objet%20d%27%C3%A9tude%281%29.pdf</w:t>
        </w:r>
      </w:hyperlink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33DF" w:rsidRPr="008733DF" w:rsidRDefault="008733DF" w:rsidP="0087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collection </w:t>
      </w:r>
      <w:proofErr w:type="spellStart"/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Médiafiches</w:t>
      </w:r>
      <w:proofErr w:type="spellEnd"/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Académie de Créteil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Tableaux numériques interactifs (TNI), espaces numériques de travail (ENT), baladeurs numériques, blogs scolaires : ces technologies numériques sont désormais présentes dans les classes. Pour en comprendre les enjeux pédagogiques et pour les prendre en main, la collection </w:t>
      </w:r>
      <w:proofErr w:type="spellStart"/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MédiaFICHES</w:t>
      </w:r>
      <w:proofErr w:type="spellEnd"/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présente des ressources pour tous les membres de la communauté éducative.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13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http://mediafiches.ac-creteil.fr/</w:t>
        </w:r>
      </w:hyperlink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33DF" w:rsidRDefault="008733DF" w:rsidP="008733D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33DF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Lexique phrases d'accueil au restaurant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33D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Source : Académie de Limoges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lexique reprend les phrases d'accueil au restaurant en anglais et concerne l'hôtellerie-restauration. </w:t>
      </w:r>
      <w:r w:rsidRPr="00873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Lien : </w:t>
      </w:r>
      <w:hyperlink r:id="rId14" w:history="1">
        <w:r w:rsidRPr="0087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http://www.ac-limoges.fr/eco-gest/spip.php?article674</w:t>
        </w:r>
      </w:hyperlink>
    </w:p>
    <w:p w:rsidR="008733DF" w:rsidRDefault="008733DF" w:rsidP="008733DF">
      <w:r>
        <w:rPr>
          <w:rFonts w:hAnsi="Symbol"/>
        </w:rPr>
        <w:t></w:t>
      </w:r>
      <w:r>
        <w:t xml:space="preserve">  </w:t>
      </w:r>
      <w:r>
        <w:rPr>
          <w:rStyle w:val="s-titre"/>
        </w:rPr>
        <w:t xml:space="preserve">PGI </w:t>
      </w:r>
      <w:proofErr w:type="spellStart"/>
      <w:r>
        <w:rPr>
          <w:rStyle w:val="s-titre"/>
        </w:rPr>
        <w:t>Cegid</w:t>
      </w:r>
      <w:proofErr w:type="spellEnd"/>
      <w:r>
        <w:rPr>
          <w:rStyle w:val="s-titre"/>
        </w:rPr>
        <w:t xml:space="preserve"> : mode opératoire de plusieurs modules</w:t>
      </w:r>
      <w:r>
        <w:br/>
      </w:r>
      <w:r>
        <w:rPr>
          <w:rStyle w:val="Accentuation"/>
        </w:rPr>
        <w:t>Source : CRCF</w:t>
      </w:r>
      <w:r>
        <w:br/>
      </w:r>
      <w:r>
        <w:lastRenderedPageBreak/>
        <w:t xml:space="preserve">L'article propose un mode opératoire présentant les fonctionnalités essentielles des modules de CEGID : Gestion commerciale, Comptabilité, Suivi des règlements, Paie GRH, </w:t>
      </w:r>
      <w:proofErr w:type="spellStart"/>
      <w:r>
        <w:t>Servantissimmo</w:t>
      </w:r>
      <w:proofErr w:type="spellEnd"/>
      <w:r>
        <w:t xml:space="preserve">, ainsi que des outils complémentaires : manipulations courantes et astuces, personnalisation de l'environnement de travail, gestion des utilisateurs et des droits d'accès, etc. </w:t>
      </w:r>
      <w:r>
        <w:br/>
        <w:t xml:space="preserve">Lien : </w:t>
      </w:r>
      <w:hyperlink r:id="rId15" w:history="1">
        <w:r>
          <w:rPr>
            <w:rStyle w:val="Lienhypertexte"/>
          </w:rPr>
          <w:t>http://crcf.ac-grenoble.fr/index.php?tg=articles&amp;idx=viewa&amp;topics=12&amp;article=638</w:t>
        </w:r>
      </w:hyperlink>
    </w:p>
    <w:p w:rsidR="008733DF" w:rsidRDefault="008733DF" w:rsidP="008733DF"/>
    <w:sectPr w:rsidR="008733DF" w:rsidSect="00F3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33DF"/>
    <w:rsid w:val="008733DF"/>
    <w:rsid w:val="00F3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-titre">
    <w:name w:val="s-titre"/>
    <w:basedOn w:val="Policepardfaut"/>
    <w:rsid w:val="008733DF"/>
  </w:style>
  <w:style w:type="character" w:styleId="Accentuation">
    <w:name w:val="Emphasis"/>
    <w:basedOn w:val="Policepardfaut"/>
    <w:uiPriority w:val="20"/>
    <w:qFormat/>
    <w:rsid w:val="008733D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-justice.com/articles/actualite-droit-travail-Rocheblave,9627.html" TargetMode="External"/><Relationship Id="rId13" Type="http://schemas.openxmlformats.org/officeDocument/2006/relationships/hyperlink" Target="http://mediafiches.ac-creteil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ge-justice.com/articles/sequestration-dirigeant-salaries,9648.html" TargetMode="External"/><Relationship Id="rId12" Type="http://schemas.openxmlformats.org/officeDocument/2006/relationships/hyperlink" Target="http://disciplines.ac-bordeaux.fr/ecogestion/vente/uploads/rubriques/21/file/fiche%20ressource%20objet%20d%27%C3%A9tude%281%2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treprises.ccip.fr/web/reglementation/developpement-et-vie-de-l-entreprise/droit-social/choix-du/le-vrp-statut-et-contrat-de-travail" TargetMode="External"/><Relationship Id="rId11" Type="http://schemas.openxmlformats.org/officeDocument/2006/relationships/hyperlink" Target="http://www.cerpeg.ac-versailles.fr/ressdiscipl/droit/dossiers/2011_appli_droit_type_contrat_travail_enonce.doc" TargetMode="External"/><Relationship Id="rId5" Type="http://schemas.openxmlformats.org/officeDocument/2006/relationships/hyperlink" Target="http://rfcomptable.grouperf.com/depeches/22204.html" TargetMode="External"/><Relationship Id="rId15" Type="http://schemas.openxmlformats.org/officeDocument/2006/relationships/hyperlink" Target="http://crcf.ac-grenoble.fr/index.php?tg=articles&amp;idx=viewa&amp;topics=12&amp;article=638" TargetMode="External"/><Relationship Id="rId10" Type="http://schemas.openxmlformats.org/officeDocument/2006/relationships/hyperlink" Target="http://www.kezeco.economie.gouv.fr/-Test-Codice,520-" TargetMode="External"/><Relationship Id="rId4" Type="http://schemas.openxmlformats.org/officeDocument/2006/relationships/hyperlink" Target="http://www.education.gouv.fr/cid54846/page.html" TargetMode="External"/><Relationship Id="rId9" Type="http://schemas.openxmlformats.org/officeDocument/2006/relationships/hyperlink" Target="http://www.net-iris.fr/veille-juridique/actualite/26476/obligation-assiduite-scolaire-et-sanctions-encourues-par-les-familles-en-cas-de-non-respect.php" TargetMode="External"/><Relationship Id="rId14" Type="http://schemas.openxmlformats.org/officeDocument/2006/relationships/hyperlink" Target="http://www.ac-limoges.fr/eco-gest/spip.php?article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</dc:creator>
  <cp:lastModifiedBy>RICCI</cp:lastModifiedBy>
  <cp:revision>1</cp:revision>
  <dcterms:created xsi:type="dcterms:W3CDTF">2011-03-09T09:45:00Z</dcterms:created>
  <dcterms:modified xsi:type="dcterms:W3CDTF">2011-03-09T09:52:00Z</dcterms:modified>
</cp:coreProperties>
</file>